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ind w:firstLine="320" w:firstLineChars="100"/>
        <w:jc w:val="center"/>
        <w:rPr>
          <w:rFonts w:eastAsia="黑体"/>
          <w:kern w:val="44"/>
          <w:sz w:val="32"/>
          <w:szCs w:val="44"/>
        </w:rPr>
      </w:pPr>
      <w:r>
        <w:rPr>
          <w:rFonts w:eastAsia="黑体"/>
          <w:kern w:val="44"/>
          <w:sz w:val="32"/>
          <w:szCs w:val="44"/>
        </w:rPr>
        <w:t>安全评价报告网上公开信息表</w:t>
      </w:r>
    </w:p>
    <w:tbl>
      <w:tblPr>
        <w:tblStyle w:val="4"/>
        <w:tblW w:w="50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6"/>
        <w:gridCol w:w="1500"/>
        <w:gridCol w:w="2123"/>
        <w:gridCol w:w="1128"/>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noWrap w:val="0"/>
            <w:vAlign w:val="center"/>
          </w:tcPr>
          <w:p>
            <w:pPr>
              <w:spacing w:line="280" w:lineRule="exact"/>
              <w:jc w:val="center"/>
              <w:rPr>
                <w:szCs w:val="21"/>
              </w:rPr>
            </w:pPr>
            <w:r>
              <w:rPr>
                <w:szCs w:val="21"/>
              </w:rPr>
              <w:t>安全评价机构名称</w:t>
            </w:r>
          </w:p>
        </w:tc>
        <w:tc>
          <w:tcPr>
            <w:tcW w:w="2094" w:type="pct"/>
            <w:gridSpan w:val="2"/>
            <w:noWrap w:val="0"/>
            <w:vAlign w:val="center"/>
          </w:tcPr>
          <w:p>
            <w:pPr>
              <w:spacing w:line="280" w:lineRule="exact"/>
              <w:rPr>
                <w:szCs w:val="21"/>
              </w:rPr>
            </w:pPr>
            <w:r>
              <w:rPr>
                <w:szCs w:val="21"/>
              </w:rPr>
              <w:t>河南中咨安全工程师事务所有限公司</w:t>
            </w:r>
          </w:p>
        </w:tc>
        <w:tc>
          <w:tcPr>
            <w:tcW w:w="651" w:type="pct"/>
            <w:noWrap w:val="0"/>
            <w:vAlign w:val="center"/>
          </w:tcPr>
          <w:p>
            <w:pPr>
              <w:spacing w:line="280" w:lineRule="exact"/>
              <w:rPr>
                <w:szCs w:val="21"/>
              </w:rPr>
            </w:pPr>
            <w:r>
              <w:rPr>
                <w:szCs w:val="21"/>
              </w:rPr>
              <w:t>资质证号</w:t>
            </w:r>
          </w:p>
        </w:tc>
        <w:tc>
          <w:tcPr>
            <w:tcW w:w="1104" w:type="pct"/>
            <w:noWrap w:val="0"/>
            <w:vAlign w:val="center"/>
          </w:tcPr>
          <w:p>
            <w:pPr>
              <w:spacing w:line="280" w:lineRule="exact"/>
              <w:rPr>
                <w:rFonts w:hint="default" w:eastAsia="宋体"/>
                <w:szCs w:val="21"/>
                <w:lang w:val="en-US" w:eastAsia="zh-CN"/>
              </w:rPr>
            </w:pPr>
            <w:bookmarkStart w:id="0" w:name="_Toc166558549"/>
            <w:r>
              <w:rPr>
                <w:rFonts w:hint="eastAsia" w:ascii="宋体" w:hAnsi="宋体" w:cs="宋体"/>
                <w:color w:val="000000"/>
                <w:kern w:val="0"/>
                <w:sz w:val="24"/>
                <w:szCs w:val="21"/>
              </w:rPr>
              <w:t>APJ-（</w:t>
            </w:r>
            <w:r>
              <w:rPr>
                <w:rFonts w:hint="eastAsia" w:ascii="宋体" w:hAnsi="宋体" w:cs="宋体"/>
                <w:color w:val="000000"/>
                <w:kern w:val="0"/>
                <w:sz w:val="24"/>
                <w:szCs w:val="21"/>
                <w:lang w:eastAsia="zh-CN"/>
              </w:rPr>
              <w:t>豫</w:t>
            </w:r>
            <w:r>
              <w:rPr>
                <w:rFonts w:hint="eastAsia" w:ascii="宋体" w:hAnsi="宋体" w:cs="宋体"/>
                <w:color w:val="000000"/>
                <w:kern w:val="0"/>
                <w:sz w:val="24"/>
                <w:szCs w:val="21"/>
              </w:rPr>
              <w:t>）-</w:t>
            </w:r>
            <w:bookmarkEnd w:id="0"/>
            <w:r>
              <w:rPr>
                <w:rFonts w:hint="eastAsia" w:ascii="宋体" w:hAnsi="宋体" w:cs="宋体"/>
                <w:color w:val="000000"/>
                <w:kern w:val="0"/>
                <w:sz w:val="24"/>
                <w:szCs w:val="21"/>
                <w:lang w:val="en-US" w:eastAsia="zh-CN"/>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noWrap w:val="0"/>
            <w:vAlign w:val="center"/>
          </w:tcPr>
          <w:p>
            <w:pPr>
              <w:spacing w:line="280" w:lineRule="exact"/>
              <w:jc w:val="center"/>
              <w:rPr>
                <w:szCs w:val="21"/>
              </w:rPr>
            </w:pPr>
            <w:r>
              <w:rPr>
                <w:szCs w:val="21"/>
              </w:rPr>
              <w:t>安全评价项目名称</w:t>
            </w:r>
          </w:p>
        </w:tc>
        <w:tc>
          <w:tcPr>
            <w:tcW w:w="3851" w:type="pct"/>
            <w:gridSpan w:val="4"/>
            <w:noWrap w:val="0"/>
            <w:vAlign w:val="center"/>
          </w:tcPr>
          <w:p>
            <w:pPr>
              <w:spacing w:line="280" w:lineRule="exact"/>
              <w:jc w:val="center"/>
              <w:rPr>
                <w:szCs w:val="21"/>
              </w:rPr>
            </w:pPr>
            <w:r>
              <w:rPr>
                <w:rFonts w:hint="eastAsia"/>
                <w:szCs w:val="21"/>
                <w:lang w:eastAsia="zh-CN"/>
              </w:rPr>
              <w:t>镇平县枣园国明加油站安全现状评价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148" w:type="pct"/>
            <w:noWrap w:val="0"/>
            <w:vAlign w:val="center"/>
          </w:tcPr>
          <w:p>
            <w:pPr>
              <w:spacing w:line="280" w:lineRule="exact"/>
              <w:jc w:val="center"/>
              <w:rPr>
                <w:szCs w:val="21"/>
              </w:rPr>
            </w:pPr>
            <w:r>
              <w:rPr>
                <w:rFonts w:hint="eastAsia"/>
                <w:szCs w:val="21"/>
              </w:rPr>
              <w:t>报告编号</w:t>
            </w:r>
          </w:p>
        </w:tc>
        <w:tc>
          <w:tcPr>
            <w:tcW w:w="3851" w:type="pct"/>
            <w:gridSpan w:val="4"/>
            <w:noWrap w:val="0"/>
            <w:vAlign w:val="center"/>
          </w:tcPr>
          <w:p>
            <w:pPr>
              <w:spacing w:line="280" w:lineRule="exact"/>
              <w:jc w:val="center"/>
              <w:rPr>
                <w:rFonts w:hint="default" w:eastAsia="宋体"/>
                <w:szCs w:val="21"/>
                <w:lang w:val="en-US" w:eastAsia="zh-CN"/>
              </w:rPr>
            </w:pPr>
            <w:r>
              <w:rPr>
                <w:rFonts w:hint="eastAsia"/>
                <w:color w:val="auto"/>
                <w:szCs w:val="21"/>
                <w:lang w:val="en-US" w:eastAsia="zh-CN"/>
              </w:rPr>
              <w:t>豫安评2021060159号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1148" w:type="pct"/>
            <w:noWrap w:val="0"/>
            <w:vAlign w:val="center"/>
          </w:tcPr>
          <w:p>
            <w:pPr>
              <w:spacing w:line="280" w:lineRule="exact"/>
              <w:jc w:val="center"/>
              <w:rPr>
                <w:szCs w:val="21"/>
              </w:rPr>
            </w:pPr>
            <w:r>
              <w:rPr>
                <w:szCs w:val="21"/>
              </w:rPr>
              <w:t>安全评价项目简介</w:t>
            </w:r>
          </w:p>
        </w:tc>
        <w:tc>
          <w:tcPr>
            <w:tcW w:w="3851"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44" w:firstLineChars="200"/>
              <w:textAlignment w:val="auto"/>
              <w:rPr>
                <w:rFonts w:hint="eastAsia" w:ascii="宋体" w:hAnsi="宋体"/>
                <w:color w:val="auto"/>
                <w:spacing w:val="6"/>
                <w:sz w:val="21"/>
                <w:szCs w:val="21"/>
              </w:rPr>
            </w:pPr>
            <w:r>
              <w:rPr>
                <w:rFonts w:hint="eastAsia" w:ascii="宋体" w:hAnsi="宋体"/>
                <w:color w:val="auto"/>
                <w:spacing w:val="6"/>
                <w:sz w:val="21"/>
                <w:szCs w:val="21"/>
                <w:lang w:eastAsia="zh-CN"/>
              </w:rPr>
              <w:t>镇平县枣园国明加油站位于镇平县枣园镇北开发区曲贾公路与教堂路交叉口北80米路东，为非公司私营企业，法定代表人申丰停。站区占地面积约</w:t>
            </w:r>
            <w:r>
              <w:rPr>
                <w:rFonts w:hint="eastAsia" w:ascii="宋体" w:hAnsi="宋体"/>
                <w:color w:val="auto"/>
                <w:spacing w:val="6"/>
                <w:sz w:val="21"/>
                <w:szCs w:val="21"/>
                <w:lang w:val="en-US" w:eastAsia="zh-CN"/>
              </w:rPr>
              <w:t>1000m</w:t>
            </w:r>
            <w:r>
              <w:rPr>
                <w:rFonts w:hint="eastAsia" w:ascii="宋体" w:hAnsi="宋体"/>
                <w:color w:val="auto"/>
                <w:spacing w:val="6"/>
                <w:sz w:val="21"/>
                <w:szCs w:val="21"/>
                <w:vertAlign w:val="superscript"/>
                <w:lang w:eastAsia="zh-CN"/>
              </w:rPr>
              <w:t>2</w:t>
            </w:r>
            <w:r>
              <w:rPr>
                <w:rFonts w:hint="eastAsia" w:ascii="宋体" w:hAnsi="宋体"/>
                <w:color w:val="auto"/>
                <w:spacing w:val="6"/>
                <w:sz w:val="21"/>
                <w:szCs w:val="21"/>
                <w:lang w:eastAsia="zh-CN"/>
              </w:rPr>
              <w:t>，现有人员</w:t>
            </w:r>
            <w:r>
              <w:rPr>
                <w:rFonts w:hint="eastAsia" w:ascii="宋体" w:hAnsi="宋体"/>
                <w:color w:val="auto"/>
                <w:spacing w:val="6"/>
                <w:sz w:val="21"/>
                <w:szCs w:val="21"/>
                <w:lang w:val="en-US" w:eastAsia="zh-CN"/>
              </w:rPr>
              <w:t>3人</w:t>
            </w:r>
            <w:r>
              <w:rPr>
                <w:rFonts w:hint="eastAsia" w:ascii="宋体" w:hAnsi="宋体"/>
                <w:color w:val="auto"/>
                <w:spacing w:val="6"/>
                <w:sz w:val="21"/>
                <w:szCs w:val="21"/>
                <w:lang w:eastAsia="zh-CN"/>
              </w:rPr>
              <w:t>，有安全管理人员</w:t>
            </w:r>
            <w:r>
              <w:rPr>
                <w:rFonts w:hint="eastAsia" w:ascii="宋体" w:hAnsi="宋体"/>
                <w:color w:val="auto"/>
                <w:spacing w:val="6"/>
                <w:sz w:val="21"/>
                <w:szCs w:val="21"/>
                <w:lang w:val="en-US" w:eastAsia="zh-CN"/>
              </w:rPr>
              <w:t>1名</w:t>
            </w:r>
            <w:r>
              <w:rPr>
                <w:rFonts w:hint="eastAsia" w:ascii="宋体" w:hAnsi="宋体"/>
                <w:color w:val="auto"/>
                <w:spacing w:val="6"/>
                <w:sz w:val="21"/>
                <w:szCs w:val="21"/>
                <w:lang w:eastAsia="zh-CN"/>
              </w:rPr>
              <w:t>，具体负责加油站的安全管理工作。于</w:t>
            </w:r>
            <w:r>
              <w:rPr>
                <w:rFonts w:hint="eastAsia" w:ascii="宋体" w:hAnsi="宋体"/>
                <w:color w:val="auto"/>
                <w:spacing w:val="6"/>
                <w:sz w:val="21"/>
                <w:szCs w:val="21"/>
                <w:lang w:val="en-US" w:eastAsia="zh-CN"/>
              </w:rPr>
              <w:t>2018年</w:t>
            </w:r>
            <w:r>
              <w:rPr>
                <w:rFonts w:hint="eastAsia" w:ascii="宋体" w:hAnsi="宋体"/>
                <w:color w:val="auto"/>
                <w:spacing w:val="6"/>
                <w:sz w:val="21"/>
                <w:szCs w:val="21"/>
                <w:lang w:eastAsia="zh-CN"/>
              </w:rPr>
              <w:t>取得了</w:t>
            </w:r>
            <w:r>
              <w:rPr>
                <w:rFonts w:hint="eastAsia" w:ascii="宋体" w:hAnsi="宋体"/>
                <w:color w:val="auto"/>
                <w:spacing w:val="6"/>
                <w:sz w:val="21"/>
                <w:szCs w:val="21"/>
              </w:rPr>
              <w:t>《危险化学品经营许可证》（</w:t>
            </w:r>
            <w:r>
              <w:rPr>
                <w:rFonts w:hint="eastAsia" w:ascii="宋体" w:hAnsi="宋体"/>
                <w:color w:val="auto"/>
                <w:spacing w:val="6"/>
                <w:sz w:val="21"/>
                <w:szCs w:val="21"/>
                <w:lang w:eastAsia="zh-CN"/>
              </w:rPr>
              <w:t>宛安WH【2018】0043</w:t>
            </w:r>
            <w:r>
              <w:rPr>
                <w:rFonts w:hint="eastAsia" w:ascii="宋体" w:hAnsi="宋体"/>
                <w:color w:val="auto"/>
                <w:spacing w:val="6"/>
                <w:sz w:val="21"/>
                <w:szCs w:val="21"/>
              </w:rPr>
              <w:t>），</w:t>
            </w:r>
            <w:r>
              <w:rPr>
                <w:rFonts w:hint="eastAsia" w:ascii="宋体" w:hAnsi="宋体"/>
                <w:color w:val="auto"/>
                <w:spacing w:val="6"/>
                <w:sz w:val="21"/>
                <w:szCs w:val="21"/>
                <w:lang w:eastAsia="zh-CN"/>
              </w:rPr>
              <w:t>有效期至2021年</w:t>
            </w:r>
            <w:r>
              <w:rPr>
                <w:rFonts w:hint="eastAsia" w:ascii="宋体" w:hAnsi="宋体"/>
                <w:color w:val="auto"/>
                <w:spacing w:val="6"/>
                <w:sz w:val="21"/>
                <w:szCs w:val="21"/>
                <w:lang w:val="en-US" w:eastAsia="zh-CN"/>
              </w:rPr>
              <w:t>7</w:t>
            </w:r>
            <w:r>
              <w:rPr>
                <w:rFonts w:hint="eastAsia" w:ascii="宋体" w:hAnsi="宋体"/>
                <w:color w:val="auto"/>
                <w:spacing w:val="6"/>
                <w:sz w:val="21"/>
                <w:szCs w:val="21"/>
                <w:lang w:eastAsia="zh-CN"/>
              </w:rPr>
              <w:t>月</w:t>
            </w:r>
            <w:r>
              <w:rPr>
                <w:rFonts w:hint="eastAsia" w:ascii="宋体" w:hAnsi="宋体"/>
                <w:color w:val="auto"/>
                <w:spacing w:val="6"/>
                <w:sz w:val="21"/>
                <w:szCs w:val="21"/>
                <w:lang w:val="en-US" w:eastAsia="zh-CN"/>
              </w:rPr>
              <w:t>26</w:t>
            </w:r>
            <w:r>
              <w:rPr>
                <w:rFonts w:hint="eastAsia" w:ascii="宋体" w:hAnsi="宋体"/>
                <w:color w:val="auto"/>
                <w:spacing w:val="6"/>
                <w:sz w:val="21"/>
                <w:szCs w:val="21"/>
                <w:lang w:eastAsia="zh-CN"/>
              </w:rPr>
              <w:t>日</w:t>
            </w:r>
            <w:r>
              <w:rPr>
                <w:rFonts w:hint="eastAsia" w:ascii="宋体" w:hAnsi="宋体"/>
                <w:color w:val="auto"/>
                <w:spacing w:val="6"/>
                <w:sz w:val="21"/>
                <w:szCs w:val="21"/>
              </w:rPr>
              <w:t>，许可经营范围为</w:t>
            </w:r>
            <w:r>
              <w:rPr>
                <w:rFonts w:hint="eastAsia" w:ascii="宋体" w:hAnsi="宋体"/>
                <w:color w:val="auto"/>
                <w:spacing w:val="6"/>
                <w:sz w:val="21"/>
                <w:szCs w:val="21"/>
                <w:lang w:eastAsia="zh-CN"/>
              </w:rPr>
              <w:t>乙醇</w:t>
            </w:r>
            <w:r>
              <w:rPr>
                <w:rFonts w:hint="eastAsia" w:ascii="宋体" w:hAnsi="宋体"/>
                <w:color w:val="auto"/>
                <w:spacing w:val="6"/>
                <w:sz w:val="21"/>
                <w:szCs w:val="21"/>
              </w:rPr>
              <w:t>汽油</w:t>
            </w:r>
            <w:r>
              <w:rPr>
                <w:rFonts w:hint="eastAsia" w:ascii="宋体" w:hAnsi="宋体"/>
                <w:color w:val="auto"/>
                <w:spacing w:val="6"/>
                <w:sz w:val="21"/>
                <w:szCs w:val="21"/>
                <w:lang w:eastAsia="zh-CN"/>
              </w:rPr>
              <w:t>、</w:t>
            </w:r>
            <w:r>
              <w:rPr>
                <w:rFonts w:hint="eastAsia" w:ascii="宋体" w:hAnsi="宋体"/>
                <w:color w:val="auto"/>
                <w:spacing w:val="6"/>
                <w:sz w:val="21"/>
                <w:szCs w:val="21"/>
              </w:rPr>
              <w:t>柴油。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ascii="宋体" w:hAnsi="宋体"/>
                <w:color w:val="auto"/>
                <w:sz w:val="21"/>
                <w:szCs w:val="21"/>
                <w:lang w:val="en-US" w:eastAsia="zh-CN"/>
              </w:rPr>
              <w:t>该站</w:t>
            </w:r>
            <w:r>
              <w:rPr>
                <w:rFonts w:hint="eastAsia" w:ascii="宋体" w:hAnsi="宋体"/>
                <w:color w:val="auto"/>
                <w:sz w:val="21"/>
                <w:szCs w:val="21"/>
              </w:rPr>
              <w:t>安装有</w:t>
            </w:r>
            <w:r>
              <w:rPr>
                <w:rFonts w:hint="eastAsia" w:ascii="宋体" w:hAnsi="宋体"/>
                <w:color w:val="auto"/>
                <w:spacing w:val="6"/>
                <w:sz w:val="21"/>
                <w:szCs w:val="21"/>
                <w:lang w:val="en-US" w:eastAsia="zh-CN"/>
              </w:rPr>
              <w:t>双枪双油品自吸式加油机4台，</w:t>
            </w:r>
            <w:r>
              <w:rPr>
                <w:rFonts w:hint="eastAsia" w:ascii="宋体" w:hAnsi="宋体"/>
                <w:color w:val="auto"/>
                <w:spacing w:val="6"/>
                <w:sz w:val="21"/>
                <w:szCs w:val="21"/>
              </w:rPr>
              <w:t>地埋式</w:t>
            </w:r>
            <w:r>
              <w:rPr>
                <w:rFonts w:hint="eastAsia" w:ascii="宋体" w:hAnsi="宋体"/>
                <w:color w:val="auto"/>
                <w:spacing w:val="6"/>
                <w:sz w:val="21"/>
                <w:szCs w:val="21"/>
                <w:lang w:eastAsia="zh-CN"/>
              </w:rPr>
              <w:t>双层</w:t>
            </w:r>
            <w:r>
              <w:rPr>
                <w:rFonts w:hint="eastAsia" w:ascii="宋体" w:hAnsi="宋体"/>
                <w:color w:val="auto"/>
                <w:spacing w:val="6"/>
                <w:sz w:val="21"/>
                <w:szCs w:val="21"/>
              </w:rPr>
              <w:t>油罐</w:t>
            </w:r>
            <w:r>
              <w:rPr>
                <w:rFonts w:hint="eastAsia" w:ascii="宋体" w:hAnsi="宋体"/>
                <w:color w:val="auto"/>
                <w:spacing w:val="6"/>
                <w:sz w:val="21"/>
                <w:szCs w:val="21"/>
                <w:lang w:val="en-US" w:eastAsia="zh-CN"/>
              </w:rPr>
              <w:t>4</w:t>
            </w:r>
            <w:r>
              <w:rPr>
                <w:rFonts w:hint="eastAsia" w:ascii="宋体" w:hAnsi="宋体"/>
                <w:color w:val="auto"/>
                <w:spacing w:val="6"/>
                <w:sz w:val="21"/>
                <w:szCs w:val="21"/>
              </w:rPr>
              <w:t>个，其中</w:t>
            </w:r>
            <w:r>
              <w:rPr>
                <w:rFonts w:hint="eastAsia" w:ascii="宋体" w:hAnsi="宋体"/>
                <w:color w:val="auto"/>
                <w:spacing w:val="6"/>
                <w:sz w:val="21"/>
                <w:szCs w:val="21"/>
                <w:lang w:val="en-US" w:eastAsia="zh-CN"/>
              </w:rPr>
              <w:t>20</w:t>
            </w:r>
            <w:r>
              <w:rPr>
                <w:rFonts w:hint="eastAsia" w:ascii="宋体" w:hAnsi="宋体"/>
                <w:color w:val="auto"/>
                <w:spacing w:val="6"/>
                <w:sz w:val="21"/>
                <w:szCs w:val="21"/>
              </w:rPr>
              <w:t>m</w:t>
            </w:r>
            <w:r>
              <w:rPr>
                <w:rFonts w:hint="eastAsia" w:ascii="宋体" w:hAnsi="宋体"/>
                <w:color w:val="auto"/>
                <w:spacing w:val="6"/>
                <w:sz w:val="21"/>
                <w:szCs w:val="21"/>
                <w:vertAlign w:val="superscript"/>
              </w:rPr>
              <w:t>3</w:t>
            </w:r>
            <w:r>
              <w:rPr>
                <w:rFonts w:hint="eastAsia" w:ascii="宋体" w:hAnsi="宋体"/>
                <w:color w:val="auto"/>
                <w:spacing w:val="6"/>
                <w:sz w:val="21"/>
                <w:szCs w:val="21"/>
              </w:rPr>
              <w:t>汽油罐</w:t>
            </w:r>
            <w:r>
              <w:rPr>
                <w:rFonts w:hint="eastAsia" w:ascii="宋体" w:hAnsi="宋体"/>
                <w:color w:val="auto"/>
                <w:spacing w:val="6"/>
                <w:sz w:val="21"/>
                <w:szCs w:val="21"/>
                <w:lang w:val="en-US" w:eastAsia="zh-CN"/>
              </w:rPr>
              <w:t>3</w:t>
            </w:r>
            <w:r>
              <w:rPr>
                <w:rFonts w:hint="eastAsia" w:ascii="宋体" w:hAnsi="宋体"/>
                <w:color w:val="auto"/>
                <w:spacing w:val="6"/>
                <w:sz w:val="21"/>
                <w:szCs w:val="21"/>
              </w:rPr>
              <w:t>个</w:t>
            </w:r>
            <w:r>
              <w:rPr>
                <w:rFonts w:hint="eastAsia" w:ascii="宋体" w:hAnsi="宋体"/>
                <w:color w:val="auto"/>
                <w:spacing w:val="6"/>
                <w:sz w:val="21"/>
                <w:szCs w:val="21"/>
                <w:lang w:eastAsia="zh-CN"/>
              </w:rPr>
              <w:t>、</w:t>
            </w:r>
            <w:r>
              <w:rPr>
                <w:rFonts w:hint="eastAsia" w:ascii="宋体" w:hAnsi="宋体"/>
                <w:color w:val="auto"/>
                <w:spacing w:val="6"/>
                <w:sz w:val="21"/>
                <w:szCs w:val="21"/>
              </w:rPr>
              <w:t>柴油罐</w:t>
            </w:r>
            <w:r>
              <w:rPr>
                <w:rFonts w:hint="eastAsia" w:ascii="宋体" w:hAnsi="宋体"/>
                <w:color w:val="auto"/>
                <w:spacing w:val="6"/>
                <w:sz w:val="21"/>
                <w:szCs w:val="21"/>
                <w:lang w:val="en-US" w:eastAsia="zh-CN"/>
              </w:rPr>
              <w:t>1</w:t>
            </w:r>
            <w:r>
              <w:rPr>
                <w:rFonts w:hint="eastAsia" w:ascii="宋体" w:hAnsi="宋体"/>
                <w:color w:val="auto"/>
                <w:spacing w:val="6"/>
                <w:sz w:val="21"/>
                <w:szCs w:val="21"/>
              </w:rPr>
              <w:t>个。根据《汽车加油加气站设计与施工规范》GB50156-2012（</w:t>
            </w:r>
            <w:r>
              <w:rPr>
                <w:rFonts w:hint="eastAsia" w:ascii="宋体" w:hAnsi="宋体"/>
                <w:color w:val="auto"/>
                <w:spacing w:val="6"/>
                <w:sz w:val="21"/>
                <w:szCs w:val="21"/>
                <w:lang w:eastAsia="zh-CN"/>
              </w:rPr>
              <w:t>2014年版</w:t>
            </w:r>
            <w:r>
              <w:rPr>
                <w:rFonts w:hint="eastAsia" w:ascii="宋体" w:hAnsi="宋体"/>
                <w:color w:val="auto"/>
                <w:spacing w:val="6"/>
                <w:sz w:val="21"/>
                <w:szCs w:val="21"/>
              </w:rPr>
              <w:t>）中加油站分级的标准，折合总容量为</w:t>
            </w:r>
            <w:r>
              <w:rPr>
                <w:rFonts w:hint="eastAsia" w:ascii="宋体" w:hAnsi="宋体"/>
                <w:color w:val="auto"/>
                <w:spacing w:val="6"/>
                <w:sz w:val="21"/>
                <w:szCs w:val="21"/>
                <w:lang w:val="en-US" w:eastAsia="zh-CN"/>
              </w:rPr>
              <w:t>70</w:t>
            </w:r>
            <w:r>
              <w:rPr>
                <w:rFonts w:hint="eastAsia" w:ascii="宋体" w:hAnsi="宋体"/>
                <w:color w:val="auto"/>
                <w:spacing w:val="6"/>
                <w:sz w:val="21"/>
                <w:szCs w:val="21"/>
              </w:rPr>
              <w:t>m</w:t>
            </w:r>
            <w:r>
              <w:rPr>
                <w:rFonts w:hint="eastAsia" w:ascii="宋体" w:hAnsi="宋体"/>
                <w:color w:val="auto"/>
                <w:spacing w:val="6"/>
                <w:sz w:val="21"/>
                <w:szCs w:val="21"/>
                <w:vertAlign w:val="superscript"/>
                <w:lang w:val="en-US" w:eastAsia="zh-CN"/>
              </w:rPr>
              <w:t>3</w:t>
            </w:r>
            <w:r>
              <w:rPr>
                <w:rFonts w:hint="eastAsia" w:ascii="宋体" w:hAnsi="宋体"/>
                <w:color w:val="auto"/>
                <w:spacing w:val="6"/>
                <w:sz w:val="21"/>
                <w:szCs w:val="21"/>
              </w:rPr>
              <w:t>。</w:t>
            </w:r>
            <w:r>
              <w:rPr>
                <w:rFonts w:hint="eastAsia" w:ascii="宋体" w:hAnsi="宋体"/>
                <w:color w:val="auto"/>
                <w:spacing w:val="6"/>
                <w:sz w:val="21"/>
                <w:szCs w:val="21"/>
                <w:lang w:val="en-US" w:eastAsia="zh-CN"/>
              </w:rPr>
              <w:t>因此</w:t>
            </w:r>
            <w:r>
              <w:rPr>
                <w:rFonts w:hint="eastAsia" w:ascii="宋体" w:hAnsi="宋体"/>
                <w:color w:val="auto"/>
                <w:spacing w:val="6"/>
                <w:sz w:val="21"/>
                <w:szCs w:val="21"/>
                <w:lang w:eastAsia="zh-CN"/>
              </w:rPr>
              <w:t>镇平县枣园国明加油站</w:t>
            </w:r>
            <w:r>
              <w:rPr>
                <w:rFonts w:hint="eastAsia" w:ascii="宋体" w:hAnsi="宋体"/>
                <w:color w:val="auto"/>
                <w:spacing w:val="6"/>
                <w:sz w:val="21"/>
                <w:szCs w:val="21"/>
              </w:rPr>
              <w:t>属</w:t>
            </w:r>
            <w:r>
              <w:rPr>
                <w:rFonts w:hint="eastAsia" w:ascii="宋体" w:hAnsi="宋体"/>
                <w:color w:val="auto"/>
                <w:spacing w:val="6"/>
                <w:sz w:val="21"/>
                <w:szCs w:val="21"/>
                <w:lang w:val="en-US" w:eastAsia="zh-CN"/>
              </w:rPr>
              <w:t>三</w:t>
            </w:r>
            <w:r>
              <w:rPr>
                <w:rFonts w:hint="eastAsia" w:ascii="宋体" w:hAnsi="宋体"/>
                <w:color w:val="auto"/>
                <w:spacing w:val="6"/>
                <w:sz w:val="21"/>
                <w:szCs w:val="21"/>
                <w:lang w:eastAsia="zh-CN"/>
              </w:rPr>
              <w:t>级</w:t>
            </w:r>
            <w:r>
              <w:rPr>
                <w:rFonts w:hint="eastAsia" w:ascii="宋体" w:hAnsi="宋体"/>
                <w:color w:val="auto"/>
                <w:spacing w:val="6"/>
                <w:sz w:val="21"/>
                <w:szCs w:val="21"/>
              </w:rPr>
              <w:t>加油站。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148" w:type="pct"/>
            <w:noWrap w:val="0"/>
            <w:vAlign w:val="center"/>
          </w:tcPr>
          <w:p>
            <w:pPr>
              <w:spacing w:line="280" w:lineRule="exact"/>
              <w:jc w:val="center"/>
              <w:rPr>
                <w:szCs w:val="21"/>
              </w:rPr>
            </w:pPr>
            <w:r>
              <w:rPr>
                <w:rFonts w:hint="eastAsia"/>
                <w:szCs w:val="21"/>
              </w:rPr>
              <w:t>安全评价结论</w:t>
            </w:r>
          </w:p>
        </w:tc>
        <w:tc>
          <w:tcPr>
            <w:tcW w:w="3851"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Cs w:val="21"/>
              </w:rPr>
            </w:pPr>
            <w:r>
              <w:rPr>
                <w:rFonts w:hint="eastAsia"/>
                <w:color w:val="000000"/>
                <w:lang w:eastAsia="zh-CN"/>
              </w:rPr>
              <w:t>镇平县枣园国明加油站</w:t>
            </w:r>
            <w:r>
              <w:rPr>
                <w:rFonts w:hint="eastAsia"/>
                <w:color w:val="000000"/>
              </w:rPr>
              <w:t>符合国家有关的法律、法规及标准的要求，经营场地及储存设施符合《汽车加油加气站设计与施工规范》GB50156-2012（2014版）的有关规定，符合</w:t>
            </w:r>
            <w:r>
              <w:rPr>
                <w:rFonts w:hint="eastAsia"/>
                <w:color w:val="000000"/>
                <w:lang w:val="en-US" w:eastAsia="zh-CN"/>
              </w:rPr>
              <w:t>加油站安全经营条件</w:t>
            </w:r>
            <w:r>
              <w:rPr>
                <w:rFonts w:hint="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1148" w:type="pct"/>
            <w:noWrap w:val="0"/>
            <w:vAlign w:val="center"/>
          </w:tcPr>
          <w:p>
            <w:pPr>
              <w:spacing w:line="280" w:lineRule="exact"/>
              <w:jc w:val="center"/>
              <w:rPr>
                <w:szCs w:val="21"/>
              </w:rPr>
            </w:pPr>
            <w:r>
              <w:rPr>
                <w:szCs w:val="21"/>
              </w:rPr>
              <w:t>评价类别（</w:t>
            </w:r>
            <w:r>
              <w:rPr>
                <w:rFonts w:hint="eastAsia" w:ascii="宋体" w:hAnsi="宋体"/>
                <w:szCs w:val="21"/>
              </w:rPr>
              <w:t>√</w:t>
            </w:r>
            <w:r>
              <w:rPr>
                <w:szCs w:val="21"/>
              </w:rPr>
              <w:t>）</w:t>
            </w:r>
          </w:p>
        </w:tc>
        <w:tc>
          <w:tcPr>
            <w:tcW w:w="3851" w:type="pct"/>
            <w:gridSpan w:val="4"/>
            <w:noWrap w:val="0"/>
            <w:vAlign w:val="center"/>
          </w:tcPr>
          <w:p>
            <w:pPr>
              <w:spacing w:line="280" w:lineRule="exact"/>
              <w:rPr>
                <w:szCs w:val="21"/>
              </w:rPr>
            </w:pPr>
            <w:r>
              <w:rPr>
                <w:szCs w:val="21"/>
              </w:rPr>
              <w:t>预评价</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验收评价</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现状评价 </w:t>
            </w:r>
            <w:r>
              <w:rPr>
                <w:rFonts w:hint="eastAsia" w:ascii="宋体" w:hAnsi="宋体"/>
                <w:szCs w:val="21"/>
              </w:rPr>
              <w:t>√</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其他安全评价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148"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安全评价项目组长</w:t>
            </w:r>
          </w:p>
        </w:tc>
        <w:tc>
          <w:tcPr>
            <w:tcW w:w="867"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左振如</w:t>
            </w:r>
          </w:p>
        </w:tc>
        <w:tc>
          <w:tcPr>
            <w:tcW w:w="1879" w:type="pct"/>
            <w:gridSpan w:val="2"/>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ascii="宋体" w:hAnsi="宋体" w:cs="宋体"/>
                <w:color w:val="000000"/>
                <w:kern w:val="0"/>
                <w:sz w:val="21"/>
                <w:szCs w:val="21"/>
                <w:lang w:val="en-US" w:eastAsia="zh-CN" w:bidi="ar-SA"/>
              </w:rPr>
            </w:pPr>
            <w:r>
              <w:rPr>
                <w:rFonts w:hint="eastAsia" w:cs="宋体"/>
                <w:color w:val="000000"/>
                <w:kern w:val="0"/>
                <w:sz w:val="21"/>
                <w:szCs w:val="21"/>
              </w:rPr>
              <w:t>报告审核人</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李文廷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技术负责人</w:t>
            </w:r>
          </w:p>
        </w:tc>
        <w:tc>
          <w:tcPr>
            <w:tcW w:w="867"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王宏伟</w:t>
            </w:r>
          </w:p>
        </w:tc>
        <w:tc>
          <w:tcPr>
            <w:tcW w:w="1879" w:type="pct"/>
            <w:gridSpan w:val="2"/>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ascii="宋体" w:hAnsi="宋体" w:cs="宋体"/>
                <w:color w:val="000000"/>
                <w:kern w:val="0"/>
                <w:sz w:val="21"/>
                <w:szCs w:val="21"/>
                <w:lang w:val="en-US" w:eastAsia="zh-CN" w:bidi="ar-SA"/>
              </w:rPr>
            </w:pPr>
            <w:r>
              <w:rPr>
                <w:rFonts w:hint="eastAsia" w:cs="宋体"/>
                <w:color w:val="000000"/>
                <w:kern w:val="0"/>
                <w:sz w:val="21"/>
                <w:szCs w:val="21"/>
              </w:rPr>
              <w:t>过程控制负责人</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贺克永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评价报告编制人</w:t>
            </w:r>
          </w:p>
        </w:tc>
        <w:tc>
          <w:tcPr>
            <w:tcW w:w="867"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姓 名</w:t>
            </w:r>
          </w:p>
        </w:tc>
        <w:tc>
          <w:tcPr>
            <w:tcW w:w="1879" w:type="pct"/>
            <w:gridSpan w:val="2"/>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职业证书编号</w:t>
            </w:r>
          </w:p>
        </w:tc>
        <w:tc>
          <w:tcPr>
            <w:tcW w:w="1104"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Times New Roman" w:hAnsi="Times New Roman"/>
                <w:kern w:val="2"/>
                <w:sz w:val="21"/>
                <w:szCs w:val="21"/>
                <w:lang w:val="en-US" w:eastAsia="zh-CN" w:bidi="ar-SA"/>
              </w:rPr>
            </w:pPr>
            <w:r>
              <w:rPr>
                <w:rFonts w:hint="eastAsia"/>
                <w:sz w:val="21"/>
                <w:szCs w:val="21"/>
              </w:rPr>
              <w:t>左振如</w:t>
            </w:r>
          </w:p>
        </w:tc>
        <w:tc>
          <w:tcPr>
            <w:tcW w:w="1879" w:type="pct"/>
            <w:gridSpan w:val="2"/>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ascii="Times New Roman" w:hAnsi="Times New Roman"/>
                <w:kern w:val="2"/>
                <w:sz w:val="21"/>
                <w:szCs w:val="21"/>
                <w:lang w:val="en-US" w:eastAsia="zh-CN" w:bidi="ar-SA"/>
              </w:rPr>
            </w:pPr>
            <w:r>
              <w:rPr>
                <w:rFonts w:hint="eastAsia"/>
                <w:sz w:val="21"/>
                <w:szCs w:val="21"/>
              </w:rPr>
              <w:t>0800000000202893</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Times New Roman" w:hAnsi="Times New Roman"/>
                <w:kern w:val="2"/>
                <w:sz w:val="21"/>
                <w:szCs w:val="21"/>
                <w:lang w:val="en-US" w:eastAsia="zh-CN" w:bidi="ar-SA"/>
              </w:rPr>
            </w:pPr>
            <w:r>
              <w:rPr>
                <w:rFonts w:hint="eastAsia"/>
                <w:sz w:val="21"/>
                <w:szCs w:val="21"/>
              </w:rPr>
              <w:t>祁岩峰</w:t>
            </w:r>
          </w:p>
        </w:tc>
        <w:tc>
          <w:tcPr>
            <w:tcW w:w="1879" w:type="pct"/>
            <w:gridSpan w:val="2"/>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Times New Roman" w:hAnsi="Times New Roman"/>
                <w:kern w:val="2"/>
                <w:sz w:val="21"/>
                <w:szCs w:val="21"/>
                <w:lang w:val="en-US" w:eastAsia="zh-CN" w:bidi="ar-SA"/>
              </w:rPr>
            </w:pPr>
            <w:r>
              <w:rPr>
                <w:rFonts w:hint="eastAsia"/>
                <w:sz w:val="21"/>
                <w:szCs w:val="21"/>
              </w:rPr>
              <w:t>1100000000303024</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Times New Roman" w:hAnsi="Times New Roman"/>
                <w:kern w:val="2"/>
                <w:sz w:val="21"/>
                <w:szCs w:val="21"/>
                <w:lang w:val="en-US" w:eastAsia="zh-CN" w:bidi="ar-SA"/>
              </w:rPr>
            </w:pPr>
            <w:r>
              <w:rPr>
                <w:sz w:val="21"/>
                <w:szCs w:val="21"/>
              </w:rPr>
              <w:t>李振都</w:t>
            </w:r>
          </w:p>
        </w:tc>
        <w:tc>
          <w:tcPr>
            <w:tcW w:w="1879" w:type="pct"/>
            <w:gridSpan w:val="2"/>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Times New Roman" w:hAnsi="Times New Roman"/>
                <w:kern w:val="2"/>
                <w:sz w:val="21"/>
                <w:szCs w:val="21"/>
                <w:lang w:val="en-US" w:eastAsia="zh-CN" w:bidi="ar-SA"/>
              </w:rPr>
            </w:pPr>
            <w:r>
              <w:rPr>
                <w:sz w:val="21"/>
                <w:szCs w:val="21"/>
              </w:rPr>
              <w:t>1100000000301436</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snapToGrid w:val="0"/>
                <w:kern w:val="0"/>
                <w:sz w:val="21"/>
                <w:szCs w:val="21"/>
                <w:lang w:val="en-US" w:eastAsia="zh-CN" w:bidi="ar-SA"/>
              </w:rPr>
            </w:pPr>
            <w:r>
              <w:rPr>
                <w:snapToGrid w:val="0"/>
                <w:kern w:val="0"/>
                <w:sz w:val="21"/>
                <w:szCs w:val="21"/>
              </w:rPr>
              <w:t>宋卓</w:t>
            </w:r>
          </w:p>
        </w:tc>
        <w:tc>
          <w:tcPr>
            <w:tcW w:w="187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snapToGrid w:val="0"/>
                <w:kern w:val="0"/>
                <w:sz w:val="21"/>
                <w:szCs w:val="21"/>
                <w:lang w:val="en-US" w:eastAsia="zh-CN" w:bidi="ar-SA"/>
              </w:rPr>
            </w:pPr>
            <w:r>
              <w:rPr>
                <w:snapToGrid w:val="0"/>
                <w:kern w:val="0"/>
                <w:sz w:val="21"/>
                <w:szCs w:val="21"/>
              </w:rPr>
              <w:t>1100000000100254</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snapToGrid w:val="0"/>
                <w:kern w:val="0"/>
                <w:sz w:val="21"/>
                <w:szCs w:val="21"/>
                <w:lang w:val="en-US" w:eastAsia="zh-CN" w:bidi="ar-SA"/>
              </w:rPr>
            </w:pPr>
            <w:r>
              <w:rPr>
                <w:rFonts w:hint="eastAsia"/>
                <w:snapToGrid w:val="0"/>
                <w:kern w:val="0"/>
                <w:sz w:val="21"/>
                <w:szCs w:val="21"/>
                <w:lang w:eastAsia="zh-CN"/>
              </w:rPr>
              <w:t>朱义辉</w:t>
            </w:r>
          </w:p>
        </w:tc>
        <w:tc>
          <w:tcPr>
            <w:tcW w:w="187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snapToGrid w:val="0"/>
                <w:kern w:val="0"/>
                <w:sz w:val="21"/>
                <w:szCs w:val="21"/>
                <w:lang w:val="en-US" w:eastAsia="zh-CN" w:bidi="ar-SA"/>
              </w:rPr>
            </w:pPr>
            <w:r>
              <w:rPr>
                <w:rFonts w:hint="eastAsia"/>
                <w:snapToGrid w:val="0"/>
                <w:kern w:val="0"/>
                <w:sz w:val="21"/>
                <w:szCs w:val="21"/>
                <w:lang w:val="en-US" w:eastAsia="zh-CN"/>
              </w:rPr>
              <w:t>0800000000202573</w:t>
            </w:r>
          </w:p>
        </w:tc>
        <w:tc>
          <w:tcPr>
            <w:tcW w:w="1104" w:type="pc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snapToGrid w:val="0"/>
                <w:kern w:val="0"/>
                <w:sz w:val="21"/>
                <w:szCs w:val="21"/>
                <w:lang w:val="en-US" w:eastAsia="zh-CN" w:bidi="ar-SA"/>
              </w:rPr>
            </w:pPr>
            <w:r>
              <w:rPr>
                <w:rFonts w:hint="eastAsia" w:ascii="宋体" w:hAnsi="宋体" w:cs="宋体"/>
                <w:color w:val="000000"/>
                <w:kern w:val="0"/>
                <w:sz w:val="21"/>
                <w:szCs w:val="21"/>
                <w:lang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参与评价工作的安全评价师</w:t>
            </w:r>
          </w:p>
        </w:tc>
        <w:tc>
          <w:tcPr>
            <w:tcW w:w="867"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姓 名</w:t>
            </w:r>
          </w:p>
        </w:tc>
        <w:tc>
          <w:tcPr>
            <w:tcW w:w="1879" w:type="pct"/>
            <w:gridSpan w:val="2"/>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职业证书编号</w:t>
            </w:r>
          </w:p>
        </w:tc>
        <w:tc>
          <w:tcPr>
            <w:tcW w:w="1104"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Times New Roman" w:hAnsi="Times New Roman"/>
                <w:kern w:val="2"/>
                <w:sz w:val="21"/>
                <w:szCs w:val="21"/>
                <w:lang w:val="en-US" w:eastAsia="zh-CN" w:bidi="ar-SA"/>
              </w:rPr>
            </w:pPr>
            <w:r>
              <w:rPr>
                <w:rFonts w:hint="eastAsia"/>
                <w:sz w:val="21"/>
                <w:szCs w:val="21"/>
              </w:rPr>
              <w:t>左振如</w:t>
            </w:r>
          </w:p>
        </w:tc>
        <w:tc>
          <w:tcPr>
            <w:tcW w:w="1879" w:type="pct"/>
            <w:gridSpan w:val="2"/>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ascii="Times New Roman" w:hAnsi="Times New Roman"/>
                <w:kern w:val="2"/>
                <w:sz w:val="21"/>
                <w:szCs w:val="21"/>
                <w:lang w:val="en-US" w:eastAsia="zh-CN" w:bidi="ar-SA"/>
              </w:rPr>
            </w:pPr>
            <w:r>
              <w:rPr>
                <w:rFonts w:hint="eastAsia"/>
                <w:sz w:val="21"/>
                <w:szCs w:val="21"/>
              </w:rPr>
              <w:t>0800000000202893</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ascii="Times New Roman" w:hAnsi="Times New Roman"/>
                <w:kern w:val="2"/>
                <w:sz w:val="21"/>
                <w:szCs w:val="21"/>
                <w:lang w:val="en-US" w:eastAsia="zh-CN" w:bidi="ar-SA"/>
              </w:rPr>
            </w:pPr>
            <w:r>
              <w:rPr>
                <w:rFonts w:hint="eastAsia"/>
                <w:sz w:val="21"/>
                <w:szCs w:val="21"/>
              </w:rPr>
              <w:t>祁岩峰</w:t>
            </w:r>
          </w:p>
        </w:tc>
        <w:tc>
          <w:tcPr>
            <w:tcW w:w="1879" w:type="pct"/>
            <w:gridSpan w:val="2"/>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ascii="Times New Roman" w:hAnsi="Times New Roman"/>
                <w:kern w:val="2"/>
                <w:sz w:val="21"/>
                <w:szCs w:val="21"/>
                <w:lang w:val="en-US" w:eastAsia="zh-CN" w:bidi="ar-SA"/>
              </w:rPr>
            </w:pPr>
            <w:r>
              <w:rPr>
                <w:rFonts w:hint="eastAsia"/>
                <w:sz w:val="21"/>
                <w:szCs w:val="21"/>
              </w:rPr>
              <w:t>1100000000303024</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ascii="Times New Roman" w:hAnsi="Times New Roman"/>
                <w:kern w:val="2"/>
                <w:sz w:val="21"/>
                <w:szCs w:val="21"/>
                <w:lang w:val="en-US" w:eastAsia="zh-CN" w:bidi="ar-SA"/>
              </w:rPr>
            </w:pPr>
            <w:r>
              <w:rPr>
                <w:sz w:val="21"/>
                <w:szCs w:val="21"/>
              </w:rPr>
              <w:t>李振都</w:t>
            </w:r>
          </w:p>
        </w:tc>
        <w:tc>
          <w:tcPr>
            <w:tcW w:w="1879" w:type="pct"/>
            <w:gridSpan w:val="2"/>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ascii="Times New Roman" w:hAnsi="Times New Roman"/>
                <w:kern w:val="2"/>
                <w:sz w:val="21"/>
                <w:szCs w:val="21"/>
                <w:lang w:val="en-US" w:eastAsia="zh-CN" w:bidi="ar-SA"/>
              </w:rPr>
            </w:pPr>
            <w:r>
              <w:rPr>
                <w:sz w:val="21"/>
                <w:szCs w:val="21"/>
              </w:rPr>
              <w:t>1100000000301436</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snapToGrid w:val="0"/>
                <w:kern w:val="0"/>
                <w:sz w:val="21"/>
                <w:szCs w:val="21"/>
                <w:lang w:val="en-US" w:eastAsia="zh-CN" w:bidi="ar-SA"/>
              </w:rPr>
            </w:pPr>
            <w:r>
              <w:rPr>
                <w:snapToGrid w:val="0"/>
                <w:kern w:val="0"/>
                <w:sz w:val="21"/>
                <w:szCs w:val="21"/>
              </w:rPr>
              <w:t>宋卓</w:t>
            </w:r>
          </w:p>
        </w:tc>
        <w:tc>
          <w:tcPr>
            <w:tcW w:w="187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snapToGrid w:val="0"/>
                <w:kern w:val="0"/>
                <w:sz w:val="21"/>
                <w:szCs w:val="21"/>
                <w:lang w:val="en-US" w:eastAsia="zh-CN" w:bidi="ar-SA"/>
              </w:rPr>
            </w:pPr>
            <w:r>
              <w:rPr>
                <w:snapToGrid w:val="0"/>
                <w:kern w:val="0"/>
                <w:sz w:val="21"/>
                <w:szCs w:val="21"/>
              </w:rPr>
              <w:t>1100000000100254</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eastAsia="zh-CN"/>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sz w:val="21"/>
                <w:szCs w:val="21"/>
              </w:rPr>
            </w:pPr>
          </w:p>
        </w:tc>
        <w:tc>
          <w:tcPr>
            <w:tcW w:w="867" w:type="pc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snapToGrid w:val="0"/>
                <w:kern w:val="0"/>
                <w:sz w:val="21"/>
                <w:szCs w:val="21"/>
                <w:lang w:val="en-US" w:eastAsia="zh-CN" w:bidi="ar-SA"/>
              </w:rPr>
            </w:pPr>
            <w:r>
              <w:rPr>
                <w:rFonts w:hint="eastAsia"/>
                <w:snapToGrid w:val="0"/>
                <w:kern w:val="0"/>
                <w:sz w:val="21"/>
                <w:szCs w:val="21"/>
                <w:lang w:eastAsia="zh-CN"/>
              </w:rPr>
              <w:t>朱义辉</w:t>
            </w:r>
          </w:p>
        </w:tc>
        <w:tc>
          <w:tcPr>
            <w:tcW w:w="187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snapToGrid w:val="0"/>
                <w:kern w:val="0"/>
                <w:sz w:val="21"/>
                <w:szCs w:val="21"/>
                <w:lang w:val="en-US" w:eastAsia="zh-CN" w:bidi="ar-SA"/>
              </w:rPr>
            </w:pPr>
            <w:r>
              <w:rPr>
                <w:rFonts w:hint="eastAsia"/>
                <w:snapToGrid w:val="0"/>
                <w:kern w:val="0"/>
                <w:sz w:val="21"/>
                <w:szCs w:val="21"/>
                <w:lang w:val="en-US" w:eastAsia="zh-CN"/>
              </w:rPr>
              <w:t>0800000000202573</w:t>
            </w:r>
          </w:p>
        </w:tc>
        <w:tc>
          <w:tcPr>
            <w:tcW w:w="1104" w:type="pct"/>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restart"/>
            <w:noWrap w:val="0"/>
            <w:vAlign w:val="center"/>
          </w:tcPr>
          <w:p>
            <w:pPr>
              <w:spacing w:line="280" w:lineRule="exact"/>
              <w:jc w:val="center"/>
              <w:rPr>
                <w:szCs w:val="21"/>
              </w:rPr>
            </w:pPr>
            <w:r>
              <w:rPr>
                <w:szCs w:val="21"/>
              </w:rPr>
              <w:t>参与评价工作的技术专家</w:t>
            </w:r>
          </w:p>
        </w:tc>
        <w:tc>
          <w:tcPr>
            <w:tcW w:w="867" w:type="pct"/>
            <w:noWrap w:val="0"/>
            <w:vAlign w:val="center"/>
          </w:tcPr>
          <w:p>
            <w:pPr>
              <w:spacing w:line="280" w:lineRule="exact"/>
              <w:jc w:val="center"/>
              <w:rPr>
                <w:szCs w:val="21"/>
              </w:rPr>
            </w:pPr>
            <w:r>
              <w:rPr>
                <w:szCs w:val="21"/>
              </w:rPr>
              <w:t>姓 名</w:t>
            </w:r>
          </w:p>
        </w:tc>
        <w:tc>
          <w:tcPr>
            <w:tcW w:w="1879" w:type="pct"/>
            <w:gridSpan w:val="2"/>
            <w:noWrap w:val="0"/>
            <w:vAlign w:val="center"/>
          </w:tcPr>
          <w:p>
            <w:pPr>
              <w:spacing w:line="280" w:lineRule="exact"/>
              <w:rPr>
                <w:szCs w:val="21"/>
              </w:rPr>
            </w:pPr>
          </w:p>
        </w:tc>
        <w:tc>
          <w:tcPr>
            <w:tcW w:w="1104" w:type="pct"/>
            <w:noWrap w:val="0"/>
            <w:vAlign w:val="center"/>
          </w:tcPr>
          <w:p>
            <w:pPr>
              <w:spacing w:line="28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spacing w:line="280" w:lineRule="exact"/>
              <w:jc w:val="center"/>
              <w:rPr>
                <w:szCs w:val="21"/>
              </w:rPr>
            </w:pPr>
          </w:p>
        </w:tc>
        <w:tc>
          <w:tcPr>
            <w:tcW w:w="867" w:type="pct"/>
            <w:noWrap w:val="0"/>
            <w:vAlign w:val="center"/>
          </w:tcPr>
          <w:p>
            <w:pPr>
              <w:spacing w:line="280" w:lineRule="exact"/>
              <w:jc w:val="center"/>
              <w:rPr>
                <w:rFonts w:hint="eastAsia" w:ascii="Times New Roman" w:hAnsi="Times New Roman" w:eastAsia="宋体"/>
                <w:kern w:val="2"/>
                <w:sz w:val="21"/>
                <w:szCs w:val="21"/>
                <w:lang w:val="en-US" w:eastAsia="zh-CN" w:bidi="ar-SA"/>
              </w:rPr>
            </w:pPr>
            <w:r>
              <w:rPr>
                <w:rFonts w:hint="eastAsia"/>
                <w:szCs w:val="21"/>
                <w:lang w:val="en-US" w:eastAsia="zh-CN"/>
              </w:rPr>
              <w:t>无</w:t>
            </w:r>
          </w:p>
        </w:tc>
        <w:tc>
          <w:tcPr>
            <w:tcW w:w="1879" w:type="pct"/>
            <w:gridSpan w:val="2"/>
            <w:noWrap w:val="0"/>
            <w:vAlign w:val="center"/>
          </w:tcPr>
          <w:p>
            <w:pPr>
              <w:spacing w:line="280" w:lineRule="exact"/>
              <w:jc w:val="center"/>
              <w:rPr>
                <w:rFonts w:hint="eastAsia" w:ascii="Times New Roman" w:hAnsi="Times New Roman" w:eastAsia="宋体"/>
                <w:kern w:val="2"/>
                <w:sz w:val="21"/>
                <w:szCs w:val="21"/>
                <w:lang w:val="en-US" w:eastAsia="zh-CN" w:bidi="ar-SA"/>
              </w:rPr>
            </w:pPr>
            <w:r>
              <w:rPr>
                <w:rFonts w:hint="eastAsia"/>
                <w:szCs w:val="21"/>
                <w:lang w:val="en-US" w:eastAsia="zh-CN"/>
              </w:rPr>
              <w:t>无</w:t>
            </w:r>
          </w:p>
        </w:tc>
        <w:tc>
          <w:tcPr>
            <w:tcW w:w="1104" w:type="pct"/>
            <w:noWrap w:val="0"/>
            <w:vAlign w:val="center"/>
          </w:tcPr>
          <w:p>
            <w:pPr>
              <w:spacing w:line="280" w:lineRule="exact"/>
              <w:jc w:val="center"/>
              <w:rPr>
                <w:rFonts w:hint="eastAsia" w:ascii="Times New Roman" w:hAnsi="Times New Roman" w:eastAsia="宋体"/>
                <w:kern w:val="2"/>
                <w:sz w:val="21"/>
                <w:szCs w:val="21"/>
                <w:lang w:val="en-US" w:eastAsia="zh-CN" w:bidi="ar-SA"/>
              </w:rPr>
            </w:pPr>
            <w:r>
              <w:rPr>
                <w:rFonts w:hint="eastAsia"/>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restart"/>
            <w:noWrap w:val="0"/>
            <w:vAlign w:val="center"/>
          </w:tcPr>
          <w:p>
            <w:pPr>
              <w:spacing w:line="280" w:lineRule="exact"/>
              <w:jc w:val="center"/>
              <w:rPr>
                <w:szCs w:val="21"/>
              </w:rPr>
            </w:pPr>
            <w:r>
              <w:rPr>
                <w:szCs w:val="21"/>
              </w:rPr>
              <w:t>现场开展安全评价工作情况</w:t>
            </w:r>
          </w:p>
        </w:tc>
        <w:tc>
          <w:tcPr>
            <w:tcW w:w="867" w:type="pct"/>
            <w:noWrap w:val="0"/>
            <w:vAlign w:val="center"/>
          </w:tcPr>
          <w:p>
            <w:pPr>
              <w:spacing w:line="280" w:lineRule="exact"/>
              <w:jc w:val="center"/>
              <w:rPr>
                <w:szCs w:val="21"/>
              </w:rPr>
            </w:pPr>
            <w:r>
              <w:rPr>
                <w:szCs w:val="21"/>
              </w:rPr>
              <w:t>人员名单</w:t>
            </w:r>
          </w:p>
        </w:tc>
        <w:tc>
          <w:tcPr>
            <w:tcW w:w="1879" w:type="pct"/>
            <w:gridSpan w:val="2"/>
            <w:noWrap w:val="0"/>
            <w:vAlign w:val="center"/>
          </w:tcPr>
          <w:p>
            <w:pPr>
              <w:spacing w:line="280" w:lineRule="exact"/>
              <w:rPr>
                <w:szCs w:val="21"/>
              </w:rPr>
            </w:pPr>
            <w:r>
              <w:rPr>
                <w:szCs w:val="21"/>
              </w:rPr>
              <w:t>到现场开展安全评价工作的时间</w:t>
            </w:r>
          </w:p>
        </w:tc>
        <w:tc>
          <w:tcPr>
            <w:tcW w:w="1104" w:type="pct"/>
            <w:noWrap w:val="0"/>
            <w:vAlign w:val="center"/>
          </w:tcPr>
          <w:p>
            <w:pPr>
              <w:spacing w:line="280" w:lineRule="exact"/>
              <w:rPr>
                <w:szCs w:val="21"/>
              </w:rPr>
            </w:pPr>
            <w:r>
              <w:rPr>
                <w:szCs w:val="21"/>
              </w:rPr>
              <w:t>到现场主要任务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spacing w:line="280" w:lineRule="exact"/>
              <w:jc w:val="center"/>
              <w:rPr>
                <w:szCs w:val="21"/>
              </w:rPr>
            </w:pPr>
          </w:p>
        </w:tc>
        <w:tc>
          <w:tcPr>
            <w:tcW w:w="867" w:type="pct"/>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左振如</w:t>
            </w:r>
          </w:p>
        </w:tc>
        <w:tc>
          <w:tcPr>
            <w:tcW w:w="1879" w:type="pct"/>
            <w:gridSpan w:val="2"/>
            <w:noWrap w:val="0"/>
            <w:vAlign w:val="center"/>
          </w:tcPr>
          <w:p>
            <w:pPr>
              <w:keepNext w:val="0"/>
              <w:keepLines w:val="0"/>
              <w:pageBreakBefore w:val="0"/>
              <w:widowControl/>
              <w:kinsoku/>
              <w:wordWrap/>
              <w:overflowPunct/>
              <w:topLinePunct w:val="0"/>
              <w:bidi w:val="0"/>
              <w:spacing w:line="240" w:lineRule="auto"/>
              <w:jc w:val="center"/>
              <w:textAlignment w:val="auto"/>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2021.03.11</w:t>
            </w:r>
          </w:p>
        </w:tc>
        <w:tc>
          <w:tcPr>
            <w:tcW w:w="1104" w:type="pct"/>
            <w:noWrap w:val="0"/>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看现场、协调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8" w:type="pct"/>
            <w:vMerge w:val="continue"/>
            <w:noWrap w:val="0"/>
            <w:vAlign w:val="center"/>
          </w:tcPr>
          <w:p>
            <w:pPr>
              <w:spacing w:line="280" w:lineRule="exact"/>
              <w:jc w:val="center"/>
              <w:rPr>
                <w:szCs w:val="21"/>
              </w:rPr>
            </w:pPr>
          </w:p>
        </w:tc>
        <w:tc>
          <w:tcPr>
            <w:tcW w:w="867" w:type="pct"/>
            <w:noWrap w:val="0"/>
            <w:vAlign w:val="center"/>
          </w:tcPr>
          <w:p>
            <w:pPr>
              <w:spacing w:line="280" w:lineRule="exact"/>
              <w:jc w:val="center"/>
              <w:rPr>
                <w:rFonts w:hint="eastAsia"/>
                <w:sz w:val="21"/>
                <w:szCs w:val="21"/>
              </w:rPr>
            </w:pPr>
            <w:r>
              <w:rPr>
                <w:rFonts w:hint="eastAsia" w:ascii="宋体" w:hAnsi="宋体" w:cs="宋体"/>
                <w:color w:val="000000"/>
                <w:kern w:val="0"/>
                <w:sz w:val="21"/>
                <w:szCs w:val="21"/>
                <w:lang w:val="en-US" w:eastAsia="zh-CN"/>
              </w:rPr>
              <w:t>李振都</w:t>
            </w:r>
          </w:p>
        </w:tc>
        <w:tc>
          <w:tcPr>
            <w:tcW w:w="1879" w:type="pct"/>
            <w:gridSpan w:val="2"/>
            <w:noWrap w:val="0"/>
            <w:vAlign w:val="center"/>
          </w:tcPr>
          <w:p>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2021.03.11</w:t>
            </w:r>
          </w:p>
        </w:tc>
        <w:tc>
          <w:tcPr>
            <w:tcW w:w="1104" w:type="pct"/>
            <w:noWrap w:val="0"/>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看现场、收集资料</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2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400" w:lineRule="exact"/>
      <w:ind w:left="420" w:leftChars="200" w:firstLine="420"/>
    </w:pPr>
    <w:rPr>
      <w:rFonts w:ascii="宋体" w:hAnsi="宋体"/>
      <w:sz w:val="24"/>
    </w:rPr>
  </w:style>
  <w:style w:type="paragraph" w:styleId="3">
    <w:name w:val="Body Text Indent"/>
    <w:basedOn w:val="1"/>
    <w:qFormat/>
    <w:uiPriority w:val="0"/>
    <w:pPr>
      <w:ind w:firstLine="568" w:firstLineChars="203"/>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2021-09-16T02:55:40Z</dcterms:created>
  <dc:creator>Administrator</dc:creator>
  <cp:lastModifiedBy>榕</cp:lastModifiedBy>
  <dcterms:modified xsi:type="dcterms:W3CDTF">2021-09-16T02:56:01Z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3B379D055E864B1EB5B86B27794D52D4</vt:lpwstr>
  </property>
</Properties>
</file>